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C331A7">
      <w:pPr>
        <w:bidi w:val="0"/>
        <w:jc w:val="center"/>
        <w:rPr>
          <w:rFonts w:hint="eastAsia"/>
          <w:b/>
          <w:bCs/>
          <w:sz w:val="40"/>
          <w:szCs w:val="32"/>
          <w:rtl w:val="0"/>
          <w:lang w:val="en-US" w:eastAsia="zh-CN"/>
        </w:rPr>
      </w:pPr>
    </w:p>
    <w:p w14:paraId="3A688E63">
      <w:pPr>
        <w:bidi w:val="0"/>
        <w:jc w:val="center"/>
        <w:rPr>
          <w:rFonts w:hint="eastAsia"/>
          <w:b/>
          <w:bCs/>
          <w:sz w:val="40"/>
          <w:szCs w:val="32"/>
          <w:rtl w:val="0"/>
          <w:lang w:val="en-US" w:eastAsia="zh-CN"/>
        </w:rPr>
      </w:pPr>
      <w:r>
        <w:rPr>
          <w:rFonts w:hint="eastAsia"/>
          <w:b/>
          <w:bCs/>
          <w:sz w:val="40"/>
          <w:szCs w:val="32"/>
          <w:rtl w:val="0"/>
          <w:lang w:val="en-US" w:eastAsia="zh-CN"/>
        </w:rPr>
        <w:t>科学导航操作手册</w:t>
      </w:r>
    </w:p>
    <w:p w14:paraId="76F3137D">
      <w:pPr>
        <w:bidi w:val="0"/>
        <w:rPr>
          <w:rFonts w:hint="eastAsia"/>
          <w:rtl w:val="0"/>
          <w:lang w:val="en-US" w:eastAsia="zh-CN"/>
        </w:rPr>
      </w:pPr>
    </w:p>
    <w:p w14:paraId="53DB86E6">
      <w:pPr>
        <w:bidi w:val="0"/>
        <w:rPr>
          <w:rFonts w:hint="eastAsia"/>
          <w:rtl w:val="0"/>
          <w:lang w:val="en-US" w:eastAsia="zh-CN"/>
        </w:rPr>
      </w:pPr>
    </w:p>
    <w:p w14:paraId="4D03BAE3">
      <w:pPr>
        <w:bidi w:val="0"/>
        <w:rPr>
          <w:rFonts w:hint="eastAsia"/>
          <w:rtl w:val="0"/>
          <w:lang w:val="en-US" w:eastAsia="zh-CN"/>
        </w:rPr>
      </w:pPr>
    </w:p>
    <w:p w14:paraId="1D4F6F85">
      <w:pPr>
        <w:bidi w:val="0"/>
        <w:rPr>
          <w:rFonts w:hint="eastAsia"/>
          <w:rtl w:val="0"/>
          <w:lang w:val="en-US" w:eastAsia="zh-CN"/>
        </w:rPr>
      </w:pPr>
    </w:p>
    <w:p w14:paraId="46EEAF82">
      <w:pPr>
        <w:bidi w:val="0"/>
        <w:rPr>
          <w:rFonts w:hint="eastAsia"/>
          <w:rtl w:val="0"/>
          <w:lang w:val="en-US" w:eastAsia="zh-CN"/>
        </w:rPr>
      </w:pPr>
    </w:p>
    <w:p w14:paraId="36D4AEC8">
      <w:pPr>
        <w:bidi w:val="0"/>
        <w:rPr>
          <w:rFonts w:hint="eastAsia"/>
          <w:rtl w:val="0"/>
          <w:lang w:val="en-US" w:eastAsia="zh-CN"/>
        </w:rPr>
      </w:pPr>
    </w:p>
    <w:p w14:paraId="5AB74AD2">
      <w:pPr>
        <w:bidi w:val="0"/>
        <w:rPr>
          <w:rFonts w:hint="eastAsia"/>
          <w:rtl w:val="0"/>
          <w:lang w:val="en-US" w:eastAsia="zh-CN"/>
        </w:rPr>
      </w:pPr>
    </w:p>
    <w:p w14:paraId="23E6FB34">
      <w:pPr>
        <w:bidi w:val="0"/>
        <w:rPr>
          <w:rFonts w:hint="eastAsia"/>
          <w:rtl w:val="0"/>
          <w:lang w:val="en-US" w:eastAsia="zh-CN"/>
        </w:rPr>
      </w:pPr>
    </w:p>
    <w:p w14:paraId="003DF803">
      <w:pPr>
        <w:bidi w:val="0"/>
        <w:rPr>
          <w:rFonts w:hint="eastAsia"/>
          <w:rtl w:val="0"/>
          <w:lang w:val="en-US" w:eastAsia="zh-CN"/>
        </w:rPr>
      </w:pPr>
    </w:p>
    <w:p w14:paraId="1E31FB81">
      <w:pPr>
        <w:bidi w:val="0"/>
        <w:rPr>
          <w:rFonts w:hint="eastAsia"/>
          <w:rtl w:val="0"/>
          <w:lang w:val="en-US" w:eastAsia="zh-CN"/>
        </w:rPr>
      </w:pPr>
    </w:p>
    <w:p w14:paraId="6E5A7FE6">
      <w:pPr>
        <w:bidi w:val="0"/>
        <w:jc w:val="center"/>
        <w:rPr>
          <w:rFonts w:hint="eastAsia"/>
          <w:b/>
          <w:bCs/>
          <w:sz w:val="32"/>
          <w:szCs w:val="24"/>
          <w:rtl w:val="0"/>
          <w:lang w:val="en-US" w:eastAsia="zh-CN"/>
        </w:rPr>
      </w:pPr>
      <w:r>
        <w:rPr>
          <w:rFonts w:hint="eastAsia"/>
          <w:b/>
          <w:bCs/>
          <w:sz w:val="32"/>
          <w:szCs w:val="24"/>
          <w:rtl w:val="0"/>
          <w:lang w:val="en-US" w:eastAsia="zh-CN"/>
        </w:rPr>
        <w:t>超星集团</w:t>
      </w:r>
    </w:p>
    <w:p w14:paraId="3058A2DF">
      <w:pPr>
        <w:bidi w:val="0"/>
        <w:rPr>
          <w:rFonts w:hint="eastAsia"/>
          <w:rtl w:val="0"/>
          <w:lang w:val="en-US" w:eastAsia="zh-CN"/>
        </w:rPr>
      </w:pPr>
    </w:p>
    <w:p w14:paraId="49AAEA64">
      <w:pPr>
        <w:bidi w:val="0"/>
        <w:rPr>
          <w:rFonts w:hint="eastAsia"/>
          <w:rtl w:val="0"/>
          <w:lang w:val="en-US" w:eastAsia="zh-CN"/>
        </w:rPr>
      </w:pPr>
    </w:p>
    <w:p w14:paraId="1F36608F">
      <w:pPr>
        <w:bidi w:val="0"/>
        <w:rPr>
          <w:rFonts w:hint="eastAsia"/>
          <w:rtl w:val="0"/>
          <w:lang w:val="en-US" w:eastAsia="zh-CN"/>
        </w:rPr>
      </w:pPr>
    </w:p>
    <w:p w14:paraId="04254D20">
      <w:pPr>
        <w:bidi w:val="0"/>
        <w:rPr>
          <w:rFonts w:hint="eastAsia"/>
          <w:rtl w:val="0"/>
          <w:lang w:val="en-US" w:eastAsia="zh-CN"/>
        </w:rPr>
      </w:pPr>
    </w:p>
    <w:p w14:paraId="61DBDD1A">
      <w:pPr>
        <w:bidi w:val="0"/>
        <w:rPr>
          <w:rFonts w:hint="eastAsia"/>
          <w:rtl w:val="0"/>
          <w:lang w:val="en-US" w:eastAsia="zh-CN"/>
        </w:rPr>
      </w:pPr>
    </w:p>
    <w:p w14:paraId="2AF4E7C1">
      <w:pPr>
        <w:bidi w:val="0"/>
        <w:rPr>
          <w:rFonts w:hint="eastAsia"/>
          <w:rtl w:val="0"/>
          <w:lang w:val="en-US" w:eastAsia="zh-CN"/>
        </w:rPr>
      </w:pPr>
    </w:p>
    <w:p w14:paraId="737DF7AE">
      <w:pPr>
        <w:bidi w:val="0"/>
        <w:rPr>
          <w:rFonts w:hint="eastAsia"/>
          <w:rtl w:val="0"/>
          <w:lang w:val="en-US" w:eastAsia="zh-CN"/>
        </w:rPr>
      </w:pPr>
    </w:p>
    <w:p w14:paraId="04A4CE44">
      <w:pPr>
        <w:bidi w:val="0"/>
        <w:rPr>
          <w:rFonts w:hint="eastAsia"/>
          <w:rtl w:val="0"/>
          <w:lang w:val="en-US" w:eastAsia="zh-CN"/>
        </w:rPr>
      </w:pPr>
    </w:p>
    <w:p w14:paraId="0CF986CD">
      <w:pPr>
        <w:bidi w:val="0"/>
        <w:rPr>
          <w:rFonts w:hint="eastAsia"/>
          <w:rtl w:val="0"/>
          <w:lang w:val="en-US" w:eastAsia="zh-CN"/>
        </w:rPr>
      </w:pPr>
    </w:p>
    <w:p w14:paraId="69BCC078">
      <w:pPr>
        <w:bidi w:val="0"/>
        <w:rPr>
          <w:rFonts w:hint="eastAsia"/>
          <w:rtl w:val="0"/>
          <w:lang w:val="en-US" w:eastAsia="zh-CN"/>
        </w:rPr>
      </w:pPr>
    </w:p>
    <w:sdt>
      <w:sdtPr>
        <w:rPr>
          <w:rFonts w:ascii="宋体" w:hAnsi="宋体" w:eastAsia="宋体" w:cs="Arial Unicode MS"/>
          <w:sz w:val="21"/>
        </w:rPr>
        <w:id w:val="147464978"/>
        <w15:color w:val="DBDBDB"/>
        <w:docPartObj>
          <w:docPartGallery w:val="Table of Contents"/>
          <w:docPartUnique/>
        </w:docPartObj>
      </w:sdtPr>
      <w:sdtEndPr>
        <w:rPr>
          <w:rFonts w:hint="default" w:ascii="Arial Unicode MS" w:hAnsi="Arial Unicode MS" w:eastAsia="MicrosoftYaHei" w:cs="Arial Unicode MS"/>
          <w:sz w:val="22"/>
          <w:lang w:val="en-US" w:eastAsia="zh-CN"/>
        </w:rPr>
      </w:sdtEndPr>
      <w:sdtContent>
        <w:p w14:paraId="4F43629D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b/>
              <w:bCs/>
              <w:sz w:val="21"/>
            </w:rPr>
            <w:t>目录</w:t>
          </w:r>
        </w:p>
        <w:p w14:paraId="790C2B83">
          <w:pPr>
            <w:pStyle w:val="3"/>
            <w:tabs>
              <w:tab w:val="right" w:leader="dot" w:pos="8300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TOC \o "1-3" \h \u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_Toc8203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rtl w:val="0"/>
            </w:rPr>
            <w:t>1.登录</w:t>
          </w:r>
          <w:r>
            <w:tab/>
          </w:r>
          <w:r>
            <w:fldChar w:fldCharType="begin"/>
          </w:r>
          <w:r>
            <w:instrText xml:space="preserve"> PAGEREF _Toc8203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 w14:paraId="6DF2F015">
          <w:pPr>
            <w:pStyle w:val="3"/>
            <w:tabs>
              <w:tab w:val="right" w:leader="dot" w:pos="8300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_Toc6532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rtl w:val="0"/>
            </w:rPr>
            <w:t>2.AI研究员</w:t>
          </w:r>
          <w:r>
            <w:tab/>
          </w:r>
          <w:r>
            <w:fldChar w:fldCharType="begin"/>
          </w:r>
          <w:r>
            <w:instrText xml:space="preserve"> PAGEREF _Toc6532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 w14:paraId="4A95BDD6">
          <w:pPr>
            <w:pStyle w:val="2"/>
            <w:tabs>
              <w:tab w:val="right" w:leader="dot" w:pos="8300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_Toc23325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rtl w:val="0"/>
            </w:rPr>
            <w:t>2.1  AI问答</w:t>
          </w:r>
          <w:r>
            <w:tab/>
          </w:r>
          <w:r>
            <w:fldChar w:fldCharType="begin"/>
          </w:r>
          <w:r>
            <w:instrText xml:space="preserve"> PAGEREF _Toc23325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 w14:paraId="6A3E1F3F">
          <w:pPr>
            <w:pStyle w:val="2"/>
            <w:tabs>
              <w:tab w:val="right" w:leader="dot" w:pos="8300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_Toc24628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rtl w:val="0"/>
            </w:rPr>
            <w:t>2.2  为你推荐</w:t>
          </w:r>
          <w:r>
            <w:tab/>
          </w:r>
          <w:r>
            <w:fldChar w:fldCharType="begin"/>
          </w:r>
          <w:r>
            <w:instrText xml:space="preserve"> PAGEREF _Toc24628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 w14:paraId="368918AC">
          <w:pPr>
            <w:pStyle w:val="3"/>
            <w:tabs>
              <w:tab w:val="right" w:leader="dot" w:pos="8300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_Toc14199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rtl w:val="0"/>
            </w:rPr>
            <w:t>3.AI学术追踪</w:t>
          </w:r>
          <w:r>
            <w:tab/>
          </w:r>
          <w:r>
            <w:fldChar w:fldCharType="begin"/>
          </w:r>
          <w:r>
            <w:instrText xml:space="preserve"> PAGEREF _Toc14199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 w14:paraId="36030965">
          <w:pPr>
            <w:pStyle w:val="2"/>
            <w:tabs>
              <w:tab w:val="right" w:leader="dot" w:pos="8300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_Toc29067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rtl w:val="0"/>
            </w:rPr>
            <w:t>3.1研究兴趣</w:t>
          </w:r>
          <w:r>
            <w:tab/>
          </w:r>
          <w:r>
            <w:fldChar w:fldCharType="begin"/>
          </w:r>
          <w:r>
            <w:instrText xml:space="preserve"> PAGEREF _Toc29067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 w14:paraId="7A1C9156">
          <w:pPr>
            <w:pStyle w:val="2"/>
            <w:tabs>
              <w:tab w:val="right" w:leader="dot" w:pos="8300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_Toc26981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rtl w:val="0"/>
            </w:rPr>
            <w:t>3.2学术期刊</w:t>
          </w:r>
          <w:r>
            <w:tab/>
          </w:r>
          <w:r>
            <w:fldChar w:fldCharType="begin"/>
          </w:r>
          <w:r>
            <w:instrText xml:space="preserve"> PAGEREF _Toc26981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 w14:paraId="147F4A92">
          <w:pPr>
            <w:pStyle w:val="2"/>
            <w:tabs>
              <w:tab w:val="right" w:leader="dot" w:pos="8300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_Toc7810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rtl w:val="0"/>
            </w:rPr>
            <w:t>3.3学者</w:t>
          </w:r>
          <w:r>
            <w:tab/>
          </w:r>
          <w:r>
            <w:fldChar w:fldCharType="begin"/>
          </w:r>
          <w:r>
            <w:instrText xml:space="preserve"> PAGEREF _Toc7810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 w14:paraId="0A83C8B4">
          <w:pPr>
            <w:pStyle w:val="2"/>
            <w:tabs>
              <w:tab w:val="right" w:leader="dot" w:pos="8300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_Toc15451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rtl w:val="0"/>
            </w:rPr>
            <w:t>3.4学术顶会</w:t>
          </w:r>
          <w:r>
            <w:tab/>
          </w:r>
          <w:r>
            <w:fldChar w:fldCharType="begin"/>
          </w:r>
          <w:r>
            <w:instrText xml:space="preserve"> PAGEREF _Toc15451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 w14:paraId="7E76E69A">
          <w:pPr>
            <w:pStyle w:val="2"/>
            <w:tabs>
              <w:tab w:val="right" w:leader="dot" w:pos="8300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_Toc12722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rtl w:val="0"/>
            </w:rPr>
            <w:t>3.5 arXiv</w:t>
          </w:r>
          <w:r>
            <w:tab/>
          </w:r>
          <w:r>
            <w:fldChar w:fldCharType="begin"/>
          </w:r>
          <w:r>
            <w:instrText xml:space="preserve"> PAGEREF _Toc12722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 w14:paraId="6A99A8CA">
          <w:pPr>
            <w:pStyle w:val="3"/>
            <w:tabs>
              <w:tab w:val="right" w:leader="dot" w:pos="8300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_Toc4532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rtl w:val="0"/>
            </w:rPr>
            <w:t>4.AI知识库</w:t>
          </w:r>
          <w:r>
            <w:tab/>
          </w:r>
          <w:r>
            <w:fldChar w:fldCharType="begin"/>
          </w:r>
          <w:r>
            <w:instrText xml:space="preserve"> PAGEREF _Toc4532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 w14:paraId="3DF6FE12">
          <w:pPr>
            <w:pStyle w:val="2"/>
            <w:tabs>
              <w:tab w:val="right" w:leader="dot" w:pos="8300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_Toc27532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rtl w:val="0"/>
            </w:rPr>
            <w:t>4.1公共AI知识库</w:t>
          </w:r>
          <w:r>
            <w:tab/>
          </w:r>
          <w:r>
            <w:fldChar w:fldCharType="begin"/>
          </w:r>
          <w:r>
            <w:instrText xml:space="preserve"> PAGEREF _Toc27532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 w14:paraId="2A19C81F">
          <w:pPr>
            <w:pStyle w:val="2"/>
            <w:tabs>
              <w:tab w:val="right" w:leader="dot" w:pos="8300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_Toc665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rtl w:val="0"/>
            </w:rPr>
            <w:t>4.2 机构AI知识库</w:t>
          </w:r>
          <w:r>
            <w:tab/>
          </w:r>
          <w:r>
            <w:fldChar w:fldCharType="begin"/>
          </w:r>
          <w:r>
            <w:instrText xml:space="preserve"> PAGEREF _Toc665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 w14:paraId="71B8DE8D">
          <w:pPr>
            <w:pStyle w:val="3"/>
            <w:tabs>
              <w:tab w:val="right" w:leader="dot" w:pos="8300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_Toc22823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rtl w:val="0"/>
            </w:rPr>
            <w:t>5.AI应用</w:t>
          </w:r>
          <w:r>
            <w:tab/>
          </w:r>
          <w:r>
            <w:fldChar w:fldCharType="begin"/>
          </w:r>
          <w:r>
            <w:instrText xml:space="preserve"> PAGEREF _Toc22823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 w14:paraId="2CA86988">
          <w:pPr>
            <w:pStyle w:val="3"/>
            <w:tabs>
              <w:tab w:val="right" w:leader="dot" w:pos="8300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_Toc9742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rtl w:val="0"/>
            </w:rPr>
            <w:t>6.课题</w:t>
          </w:r>
          <w:r>
            <w:tab/>
          </w:r>
          <w:r>
            <w:fldChar w:fldCharType="begin"/>
          </w:r>
          <w:r>
            <w:instrText xml:space="preserve"> PAGEREF _Toc9742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 w14:paraId="5B842A70">
          <w:pPr>
            <w:pStyle w:val="3"/>
            <w:tabs>
              <w:tab w:val="right" w:leader="dot" w:pos="8300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_Toc8854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rtl w:val="0"/>
            </w:rPr>
            <w:t>7.工作集</w:t>
          </w:r>
          <w:r>
            <w:tab/>
          </w:r>
          <w:r>
            <w:fldChar w:fldCharType="begin"/>
          </w:r>
          <w:r>
            <w:instrText xml:space="preserve"> PAGEREF _Toc8854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 w14:paraId="51D3BF35">
          <w:pPr>
            <w:bidi w:val="0"/>
            <w:rPr>
              <w:rFonts w:hint="default" w:ascii="Arial Unicode MS" w:hAnsi="Arial Unicode MS" w:eastAsia="MicrosoftYaHei" w:cs="Arial Unicode MS"/>
              <w:sz w:val="22"/>
              <w:lang w:val="en-US" w:eastAsia="zh-CN"/>
            </w:rPr>
          </w:pPr>
          <w:r>
            <w:rPr>
              <w:rFonts w:hint="default"/>
              <w:lang w:val="en-US" w:eastAsia="zh-CN"/>
            </w:rPr>
            <w:fldChar w:fldCharType="end"/>
          </w:r>
        </w:p>
      </w:sdtContent>
    </w:sdt>
    <w:p w14:paraId="470452E2">
      <w:pPr>
        <w:bidi w:val="0"/>
        <w:rPr>
          <w:rFonts w:hint="default" w:ascii="Arial Unicode MS" w:hAnsi="Arial Unicode MS" w:eastAsia="MicrosoftYaHei" w:cs="Arial Unicode MS"/>
          <w:sz w:val="22"/>
          <w:rtl w:val="0"/>
          <w:lang w:val="en-US" w:eastAsia="zh-CN"/>
        </w:rPr>
      </w:pPr>
    </w:p>
    <w:p w14:paraId="6656C802">
      <w:pPr>
        <w:pStyle w:val="7"/>
        <w:rPr>
          <w:rFonts w:hint="eastAsia"/>
          <w:rtl w:val="0"/>
          <w:lang w:val="en-US" w:eastAsia="zh-CN"/>
        </w:rPr>
      </w:pPr>
    </w:p>
    <w:p w14:paraId="3E6E65FC">
      <w:pPr>
        <w:pStyle w:val="7"/>
        <w:rPr>
          <w:rFonts w:hint="eastAsia" w:ascii="微软雅黑" w:hAnsi="微软雅黑" w:eastAsia="微软雅黑" w:cs="微软雅黑"/>
          <w:rtl w:val="0"/>
          <w:lang w:val="en-US" w:eastAsia="zh-CN"/>
        </w:rPr>
      </w:pPr>
    </w:p>
    <w:p w14:paraId="18307579">
      <w:pPr>
        <w:pStyle w:val="7"/>
        <w:rPr>
          <w:rFonts w:hint="default" w:ascii="微软雅黑" w:hAnsi="微软雅黑" w:eastAsia="微软雅黑" w:cs="微软雅黑"/>
          <w:rtl w:val="0"/>
          <w:lang w:val="en-US" w:eastAsia="zh-CN"/>
        </w:rPr>
        <w:sectPr>
          <w:pgSz w:w="11900" w:h="16840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31C37CFF">
      <w:pPr>
        <w:pStyle w:val="10"/>
        <w:spacing w:line="240" w:lineRule="auto"/>
        <w:rPr>
          <w:rFonts w:hint="eastAsia" w:ascii="微软雅黑" w:hAnsi="微软雅黑" w:eastAsia="微软雅黑" w:cs="微软雅黑"/>
        </w:rPr>
      </w:pPr>
      <w:bookmarkStart w:id="0" w:name="_Toc8203"/>
      <w:r>
        <w:rPr>
          <w:rFonts w:hint="eastAsia" w:ascii="微软雅黑" w:hAnsi="微软雅黑" w:eastAsia="微软雅黑" w:cs="微软雅黑"/>
          <w:rtl w:val="0"/>
        </w:rPr>
        <w:t>1.登录</w:t>
      </w:r>
      <w:bookmarkEnd w:id="0"/>
    </w:p>
    <w:p w14:paraId="7F65F6B3">
      <w:pPr>
        <w:pStyle w:val="7"/>
        <w:spacing w:line="240" w:lineRule="auto"/>
        <w:rPr>
          <w:rFonts w:hint="eastAsia" w:ascii="微软雅黑" w:hAnsi="微软雅黑" w:eastAsia="微软雅黑" w:cs="微软雅黑"/>
          <w:rtl w:val="0"/>
        </w:rPr>
      </w:pPr>
      <w:r>
        <w:rPr>
          <w:rFonts w:hint="eastAsia" w:ascii="微软雅黑" w:hAnsi="微软雅黑" w:eastAsia="微软雅黑" w:cs="微软雅黑"/>
          <w:rtl w:val="0"/>
          <w:lang w:val="en-US" w:eastAsia="zh-CN"/>
        </w:rPr>
        <w:t>访问网址</w:t>
      </w: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"https://ynu.libsp.net"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Style w:val="6"/>
          <w:rFonts w:hint="eastAsia" w:ascii="微软雅黑" w:hAnsi="微软雅黑" w:eastAsia="微软雅黑" w:cs="微软雅黑"/>
          <w:rtl w:val="0"/>
        </w:rPr>
        <w:t>https://ynu.libsp.net</w:t>
      </w:r>
      <w:r>
        <w:rPr>
          <w:rFonts w:hint="eastAsia" w:ascii="微软雅黑" w:hAnsi="微软雅黑" w:eastAsia="微软雅黑" w:cs="微软雅黑"/>
        </w:rPr>
        <w:fldChar w:fldCharType="end"/>
      </w:r>
      <w:bookmarkStart w:id="16" w:name="_GoBack"/>
      <w:bookmarkEnd w:id="16"/>
      <w:r>
        <w:rPr>
          <w:rFonts w:hint="eastAsia" w:ascii="微软雅黑" w:hAnsi="微软雅黑" w:eastAsia="微软雅黑" w:cs="微软雅黑"/>
          <w:rtl w:val="0"/>
          <w:lang w:val="en-US" w:eastAsia="zh-CN"/>
        </w:rPr>
        <w:t>后</w:t>
      </w:r>
      <w:r>
        <w:rPr>
          <w:rFonts w:hint="eastAsia" w:ascii="微软雅黑" w:hAnsi="微软雅黑" w:eastAsia="微软雅黑" w:cs="微软雅黑"/>
          <w:rtl w:val="0"/>
        </w:rPr>
        <w:t xml:space="preserve"> 登录学校/机构开通的</w:t>
      </w:r>
      <w:r>
        <w:rPr>
          <w:rFonts w:hint="eastAsia" w:ascii="微软雅黑" w:hAnsi="微软雅黑" w:eastAsia="微软雅黑" w:cs="微软雅黑"/>
          <w:rtl w:val="0"/>
          <w:lang w:val="en-US" w:eastAsia="zh-CN"/>
        </w:rPr>
        <w:t>科学导航</w:t>
      </w:r>
      <w:r>
        <w:rPr>
          <w:rFonts w:hint="eastAsia" w:ascii="微软雅黑" w:hAnsi="微软雅黑" w:eastAsia="微软雅黑" w:cs="微软雅黑"/>
          <w:rtl w:val="0"/>
        </w:rPr>
        <w:t>地址（采用passport登录、或统一认证账号登录），登录成功后进入首页</w:t>
      </w:r>
    </w:p>
    <w:p w14:paraId="0266F538">
      <w:pPr>
        <w:pStyle w:val="7"/>
        <w:spacing w:line="240" w:lineRule="auto"/>
      </w:pPr>
      <w:r>
        <w:drawing>
          <wp:inline distT="0" distB="0" distL="114300" distR="114300">
            <wp:extent cx="5264150" cy="2762885"/>
            <wp:effectExtent l="0" t="0" r="12700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6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7A43B">
      <w:pPr>
        <w:pStyle w:val="7"/>
        <w:spacing w:line="240" w:lineRule="auto"/>
        <w:rPr>
          <w:rFonts w:hint="eastAsia"/>
          <w:rtl w:val="0"/>
        </w:rPr>
      </w:pPr>
      <w:r>
        <w:drawing>
          <wp:inline distT="0" distB="0" distL="114300" distR="114300">
            <wp:extent cx="5266690" cy="2621915"/>
            <wp:effectExtent l="0" t="0" r="1016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2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74D46">
      <w:pPr>
        <w:pStyle w:val="7"/>
        <w:spacing w:line="240" w:lineRule="auto"/>
        <w:rPr>
          <w:rFonts w:hint="eastAsia" w:ascii="微软雅黑" w:hAnsi="微软雅黑" w:eastAsia="微软雅黑" w:cs="微软雅黑"/>
        </w:rPr>
      </w:pPr>
    </w:p>
    <w:p w14:paraId="795EE24D">
      <w:pPr>
        <w:pStyle w:val="10"/>
        <w:spacing w:line="240" w:lineRule="auto"/>
        <w:rPr>
          <w:rFonts w:hint="eastAsia" w:ascii="微软雅黑" w:hAnsi="微软雅黑" w:eastAsia="微软雅黑" w:cs="微软雅黑"/>
        </w:rPr>
      </w:pPr>
      <w:bookmarkStart w:id="1" w:name="_Toc6532"/>
      <w:r>
        <w:rPr>
          <w:rFonts w:hint="eastAsia" w:ascii="微软雅黑" w:hAnsi="微软雅黑" w:eastAsia="微软雅黑" w:cs="微软雅黑"/>
          <w:rtl w:val="0"/>
        </w:rPr>
        <w:t>2.AI研究员</w:t>
      </w:r>
      <w:bookmarkEnd w:id="1"/>
    </w:p>
    <w:p w14:paraId="5C5EF041">
      <w:pPr>
        <w:pStyle w:val="11"/>
        <w:spacing w:line="240" w:lineRule="auto"/>
        <w:rPr>
          <w:rFonts w:hint="eastAsia" w:ascii="微软雅黑" w:hAnsi="微软雅黑" w:eastAsia="微软雅黑" w:cs="微软雅黑"/>
        </w:rPr>
      </w:pPr>
      <w:bookmarkStart w:id="2" w:name="_Toc23325"/>
      <w:r>
        <w:rPr>
          <w:rFonts w:hint="eastAsia" w:ascii="微软雅黑" w:hAnsi="微软雅黑" w:eastAsia="微软雅黑" w:cs="微软雅黑"/>
          <w:rtl w:val="0"/>
        </w:rPr>
        <w:t>2.1  AI问答</w:t>
      </w:r>
      <w:bookmarkEnd w:id="2"/>
    </w:p>
    <w:p w14:paraId="1B3CCD44">
      <w:pPr>
        <w:pStyle w:val="7"/>
        <w:spacing w:line="240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rtl w:val="0"/>
        </w:rPr>
        <w:t>根据使用场景，选择综合问答、学科/领域专业知识库问答、Deep Research深度研究问答。</w:t>
      </w:r>
    </w:p>
    <w:p w14:paraId="3D8F2D8E">
      <w:pPr>
        <w:pStyle w:val="7"/>
        <w:spacing w:line="240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rtl w:val="0"/>
        </w:rPr>
        <w:t>（1）综合问答—不限学科进行AI问答，查询学术引擎、OA资源、顶刊会议等，进行学术研究问答</w:t>
      </w:r>
    </w:p>
    <w:p w14:paraId="10FB741A">
      <w:pPr>
        <w:pStyle w:val="7"/>
        <w:spacing w:line="240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rtl w:val="0"/>
        </w:rPr>
        <w:drawing>
          <wp:inline distT="0" distB="0" distL="114300" distR="114300">
            <wp:extent cx="5029200" cy="2385695"/>
            <wp:effectExtent l="0" t="0" r="0" b="14605"/>
            <wp:docPr id="18" name="Drawing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rawing 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385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2BB46">
      <w:pPr>
        <w:pStyle w:val="7"/>
        <w:spacing w:line="240" w:lineRule="auto"/>
        <w:rPr>
          <w:rFonts w:hint="eastAsia" w:ascii="微软雅黑" w:hAnsi="微软雅黑" w:eastAsia="微软雅黑" w:cs="微软雅黑"/>
        </w:rPr>
      </w:pPr>
    </w:p>
    <w:p w14:paraId="70200056">
      <w:pPr>
        <w:pStyle w:val="7"/>
        <w:spacing w:line="240" w:lineRule="auto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rtl w:val="0"/>
        </w:rPr>
        <w:t>（2）专业学科性的AI知识库</w:t>
      </w:r>
    </w:p>
    <w:p w14:paraId="5BF6D822">
      <w:pPr>
        <w:pStyle w:val="7"/>
        <w:spacing w:line="240" w:lineRule="auto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rtl w:val="0"/>
        </w:rPr>
        <w:drawing>
          <wp:inline distT="0" distB="0" distL="114300" distR="114300">
            <wp:extent cx="5029200" cy="2606040"/>
            <wp:effectExtent l="0" t="0" r="0" b="3810"/>
            <wp:docPr id="23" name="Drawing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rawing 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606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D244B">
      <w:pPr>
        <w:pStyle w:val="7"/>
        <w:spacing w:line="240" w:lineRule="auto"/>
        <w:jc w:val="left"/>
        <w:rPr>
          <w:rFonts w:hint="eastAsia" w:ascii="微软雅黑" w:hAnsi="微软雅黑" w:eastAsia="微软雅黑" w:cs="微软雅黑"/>
        </w:rPr>
      </w:pPr>
    </w:p>
    <w:p w14:paraId="60077630">
      <w:pPr>
        <w:pStyle w:val="7"/>
        <w:spacing w:line="240" w:lineRule="auto"/>
        <w:jc w:val="left"/>
        <w:rPr>
          <w:rFonts w:hint="eastAsia" w:ascii="微软雅黑" w:hAnsi="微软雅黑" w:eastAsia="微软雅黑" w:cs="微软雅黑"/>
          <w:rtl w:val="0"/>
        </w:rPr>
      </w:pPr>
      <w:r>
        <w:rPr>
          <w:rFonts w:hint="eastAsia" w:ascii="微软雅黑" w:hAnsi="微软雅黑" w:eastAsia="微软雅黑" w:cs="微软雅黑"/>
          <w:rtl w:val="0"/>
        </w:rPr>
        <w:t>（3）Deep research【深度思考】：基于AI知识库的AI长文档输出（支持多模态，长文本的输出）</w:t>
      </w:r>
    </w:p>
    <w:p w14:paraId="2C8FD6E7">
      <w:pPr>
        <w:pStyle w:val="7"/>
        <w:spacing w:line="240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029200" cy="2364740"/>
            <wp:effectExtent l="0" t="0" r="0" b="16510"/>
            <wp:docPr id="29" name="Drawing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Drawing 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36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86709">
      <w:pPr>
        <w:pStyle w:val="7"/>
        <w:spacing w:line="240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029200" cy="2385695"/>
            <wp:effectExtent l="0" t="0" r="0" b="14605"/>
            <wp:docPr id="31" name="Drawing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Drawing 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3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AB6FF">
      <w:pPr>
        <w:pStyle w:val="7"/>
        <w:spacing w:line="240" w:lineRule="auto"/>
        <w:rPr>
          <w:rFonts w:hint="eastAsia" w:ascii="微软雅黑" w:hAnsi="微软雅黑" w:eastAsia="微软雅黑" w:cs="微软雅黑"/>
        </w:rPr>
      </w:pPr>
    </w:p>
    <w:p w14:paraId="7073EFDB">
      <w:pPr>
        <w:pStyle w:val="7"/>
        <w:spacing w:line="240" w:lineRule="auto"/>
        <w:rPr>
          <w:rFonts w:hint="eastAsia" w:ascii="微软雅黑" w:hAnsi="微软雅黑" w:eastAsia="微软雅黑" w:cs="微软雅黑"/>
        </w:rPr>
      </w:pPr>
    </w:p>
    <w:p w14:paraId="67C6555B">
      <w:pPr>
        <w:pStyle w:val="11"/>
        <w:spacing w:line="240" w:lineRule="auto"/>
        <w:rPr>
          <w:rFonts w:hint="eastAsia" w:ascii="微软雅黑" w:hAnsi="微软雅黑" w:eastAsia="微软雅黑" w:cs="微软雅黑"/>
        </w:rPr>
      </w:pPr>
      <w:bookmarkStart w:id="3" w:name="_Toc24628"/>
      <w:r>
        <w:rPr>
          <w:rFonts w:hint="eastAsia" w:ascii="微软雅黑" w:hAnsi="微软雅黑" w:eastAsia="微软雅黑" w:cs="微软雅黑"/>
          <w:rtl w:val="0"/>
        </w:rPr>
        <w:t>2.2  为你推荐</w:t>
      </w:r>
      <w:bookmarkEnd w:id="3"/>
    </w:p>
    <w:p w14:paraId="21F4BCF0">
      <w:pPr>
        <w:pStyle w:val="7"/>
        <w:spacing w:line="240" w:lineRule="auto"/>
        <w:rPr>
          <w:rFonts w:hint="eastAsia"/>
        </w:rPr>
      </w:pPr>
      <w:r>
        <w:rPr>
          <w:rFonts w:hint="eastAsia" w:ascii="微软雅黑" w:hAnsi="微软雅黑" w:eastAsia="微软雅黑" w:cs="微软雅黑"/>
          <w:rtl w:val="0"/>
        </w:rPr>
        <w:t>（1）首次登录，自动推送领域设置弹窗，用户进行选择（根据教育部学科分类、ESI学科进行勾选），可进行二次修改</w:t>
      </w:r>
    </w:p>
    <w:p w14:paraId="668CBFE5">
      <w:pPr>
        <w:pStyle w:val="7"/>
        <w:spacing w:line="360" w:lineRule="auto"/>
        <w:rPr>
          <w:rFonts w:hint="eastAsia" w:ascii="微软雅黑" w:hAnsi="微软雅黑" w:eastAsia="微软雅黑" w:cs="微软雅黑"/>
          <w:rtl w:val="0"/>
          <w:lang w:val="en-US" w:eastAsia="zh-CN"/>
        </w:rPr>
      </w:pPr>
      <w:r>
        <w:rPr>
          <w:rFonts w:hint="eastAsia" w:ascii="微软雅黑" w:hAnsi="微软雅黑" w:eastAsia="微软雅黑" w:cs="微软雅黑"/>
          <w:rtl w:val="0"/>
        </w:rPr>
        <w:t>（2）根据兴趣领域、用户画像，千人千面推送个性化资</w:t>
      </w:r>
      <w:r>
        <w:rPr>
          <w:rFonts w:hint="eastAsia" w:ascii="微软雅黑" w:hAnsi="微软雅黑" w:eastAsia="微软雅黑" w:cs="微软雅黑"/>
          <w:rtl w:val="0"/>
          <w:lang w:val="en-US" w:eastAsia="zh-CN"/>
        </w:rPr>
        <w:t>源</w:t>
      </w:r>
    </w:p>
    <w:p w14:paraId="59BCE187">
      <w:pPr>
        <w:pStyle w:val="7"/>
        <w:spacing w:line="360" w:lineRule="auto"/>
        <w:rPr>
          <w:rFonts w:hint="eastAsia" w:ascii="微软雅黑" w:hAnsi="微软雅黑" w:eastAsia="微软雅黑" w:cs="微软雅黑"/>
          <w:rtl w:val="0"/>
        </w:rPr>
      </w:pPr>
      <w:r>
        <w:rPr>
          <w:rFonts w:hint="eastAsia"/>
          <w:rtl w:val="0"/>
        </w:rPr>
        <w:drawing>
          <wp:inline distT="0" distB="0" distL="114300" distR="114300">
            <wp:extent cx="5029200" cy="2477770"/>
            <wp:effectExtent l="0" t="0" r="0" b="17780"/>
            <wp:docPr id="39" name="Drawing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Drawing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47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E21FE">
      <w:pPr>
        <w:pStyle w:val="7"/>
        <w:spacing w:line="360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rtl w:val="0"/>
        </w:rPr>
        <w:drawing>
          <wp:inline distT="0" distB="0" distL="114300" distR="114300">
            <wp:extent cx="5029200" cy="2469515"/>
            <wp:effectExtent l="0" t="0" r="0" b="6985"/>
            <wp:docPr id="43" name="Drawing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Drawing 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46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F1B0E">
      <w:pPr>
        <w:pStyle w:val="10"/>
        <w:spacing w:line="360" w:lineRule="auto"/>
        <w:rPr>
          <w:rFonts w:hint="eastAsia" w:ascii="微软雅黑" w:hAnsi="微软雅黑" w:eastAsia="微软雅黑" w:cs="微软雅黑"/>
        </w:rPr>
      </w:pPr>
      <w:bookmarkStart w:id="4" w:name="_Toc14199"/>
      <w:r>
        <w:rPr>
          <w:rFonts w:hint="eastAsia" w:ascii="微软雅黑" w:hAnsi="微软雅黑" w:eastAsia="微软雅黑" w:cs="微软雅黑"/>
          <w:rtl w:val="0"/>
        </w:rPr>
        <w:t>3.AI学术追踪</w:t>
      </w:r>
      <w:bookmarkEnd w:id="4"/>
    </w:p>
    <w:p w14:paraId="516E1819">
      <w:pPr>
        <w:pStyle w:val="7"/>
        <w:spacing w:line="240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rtl w:val="0"/>
        </w:rPr>
        <w:t>通过AI研判用户的研究方向、聚焦技术细节、关注特定应用场景、描述研究目标或是通过明确具体的研究问题等角度来设置兴趣点/订阅期刊/关注学者/学术顶会/机构资源。自动筛选并推送最新的相关主题论文，确保用户不错过任何重要的研究动态。</w:t>
      </w:r>
    </w:p>
    <w:p w14:paraId="7239038E">
      <w:pPr>
        <w:pStyle w:val="11"/>
        <w:spacing w:line="240" w:lineRule="auto"/>
        <w:rPr>
          <w:rFonts w:hint="eastAsia" w:ascii="微软雅黑" w:hAnsi="微软雅黑" w:eastAsia="微软雅黑" w:cs="微软雅黑"/>
        </w:rPr>
      </w:pPr>
      <w:bookmarkStart w:id="5" w:name="_Toc29067"/>
      <w:r>
        <w:rPr>
          <w:rFonts w:hint="eastAsia" w:ascii="微软雅黑" w:hAnsi="微软雅黑" w:eastAsia="微软雅黑" w:cs="微软雅黑"/>
          <w:rtl w:val="0"/>
        </w:rPr>
        <w:t>3.1研究兴趣</w:t>
      </w:r>
      <w:bookmarkEnd w:id="5"/>
    </w:p>
    <w:p w14:paraId="11D28F68">
      <w:pPr>
        <w:pStyle w:val="7"/>
        <w:spacing w:line="240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rtl w:val="0"/>
        </w:rPr>
        <w:t>（1）新增研究兴趣：输入研究兴趣、研究内容，根据输入的内容自动生成、推荐相关研究兴趣给用户，点击“追踪”，进行追踪研究最新文章</w:t>
      </w:r>
    </w:p>
    <w:p w14:paraId="77207BCC">
      <w:pPr>
        <w:pStyle w:val="7"/>
        <w:spacing w:line="240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rtl w:val="0"/>
        </w:rPr>
        <w:drawing>
          <wp:inline distT="0" distB="0" distL="114300" distR="114300">
            <wp:extent cx="5029200" cy="2385695"/>
            <wp:effectExtent l="0" t="0" r="0" b="14605"/>
            <wp:docPr id="54" name="Drawing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Drawing 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3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ED466">
      <w:pPr>
        <w:pStyle w:val="7"/>
        <w:spacing w:line="240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rtl w:val="0"/>
        </w:rPr>
        <w:t>（2）根据研究兴趣，推送相关学术资源，可对资源进行“加入阅读清单”“引用”“AI解读”。如资源存在原文情况下，点击【AI速读】，打开AI速读页面</w:t>
      </w:r>
    </w:p>
    <w:p w14:paraId="58E3BB9C">
      <w:pPr>
        <w:pStyle w:val="7"/>
        <w:spacing w:line="240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rtl w:val="0"/>
        </w:rPr>
        <w:drawing>
          <wp:inline distT="0" distB="0" distL="114300" distR="114300">
            <wp:extent cx="5029200" cy="2385695"/>
            <wp:effectExtent l="0" t="0" r="0" b="14605"/>
            <wp:docPr id="58" name="Drawing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Drawing 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3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0130B">
      <w:pPr>
        <w:pStyle w:val="7"/>
        <w:spacing w:line="360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rtl w:val="0"/>
        </w:rPr>
        <w:t>（3）【AI速览】，对当前资源进行AI总结，</w:t>
      </w:r>
      <w:r>
        <w:rPr>
          <w:rFonts w:hint="eastAsia" w:ascii="微软雅黑" w:hAnsi="微软雅黑" w:eastAsia="微软雅黑" w:cs="微软雅黑"/>
          <w:color w:val="3E3E3E"/>
          <w:sz w:val="24"/>
          <w:szCs w:val="24"/>
          <w:highlight w:val="white"/>
          <w:rtl w:val="0"/>
        </w:rPr>
        <w:t>快速提炼文献的核心内容和关键创新点</w:t>
      </w:r>
      <w:r>
        <w:rPr>
          <w:rFonts w:hint="eastAsia" w:ascii="微软雅黑" w:hAnsi="微软雅黑" w:eastAsia="微软雅黑" w:cs="微软雅黑"/>
          <w:rtl w:val="0"/>
        </w:rPr>
        <w:t>；点击溯源角标，可快速定位到对应的资源</w:t>
      </w:r>
    </w:p>
    <w:p w14:paraId="7D87744D">
      <w:pPr>
        <w:pStyle w:val="7"/>
        <w:spacing w:line="240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rtl w:val="0"/>
        </w:rPr>
        <w:drawing>
          <wp:inline distT="0" distB="0" distL="114300" distR="114300">
            <wp:extent cx="5029200" cy="2385695"/>
            <wp:effectExtent l="0" t="0" r="0" b="14605"/>
            <wp:docPr id="64" name="Drawing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Drawing 1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3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D90B8">
      <w:pPr>
        <w:pStyle w:val="11"/>
        <w:spacing w:line="240" w:lineRule="auto"/>
        <w:rPr>
          <w:rFonts w:hint="eastAsia" w:ascii="微软雅黑" w:hAnsi="微软雅黑" w:eastAsia="微软雅黑" w:cs="微软雅黑"/>
        </w:rPr>
      </w:pPr>
      <w:bookmarkStart w:id="6" w:name="_Toc26981"/>
      <w:r>
        <w:rPr>
          <w:rFonts w:hint="eastAsia" w:ascii="微软雅黑" w:hAnsi="微软雅黑" w:eastAsia="微软雅黑" w:cs="微软雅黑"/>
          <w:rtl w:val="0"/>
        </w:rPr>
        <w:t>3.2学术期刊</w:t>
      </w:r>
      <w:bookmarkEnd w:id="6"/>
    </w:p>
    <w:p w14:paraId="57B56635">
      <w:pPr>
        <w:pStyle w:val="7"/>
        <w:spacing w:line="240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rtl w:val="0"/>
        </w:rPr>
        <w:t>根据研究兴趣，订阅期刊，推送相关的最新研究成果、文章</w:t>
      </w:r>
    </w:p>
    <w:p w14:paraId="15669116">
      <w:pPr>
        <w:pStyle w:val="7"/>
        <w:spacing w:line="360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rtl w:val="0"/>
        </w:rPr>
        <w:t>（1）新增关注期刊：输入研究兴趣，科学导航根据输入的内容自动生成、推荐相关期刊给用户，点击“追踪”，进行追踪期刊，期刊更新后，会</w:t>
      </w:r>
      <w:r>
        <w:rPr>
          <w:rFonts w:hint="eastAsia" w:ascii="微软雅黑" w:hAnsi="微软雅黑" w:eastAsia="微软雅黑" w:cs="微软雅黑"/>
          <w:rtl w:val="0"/>
          <w:lang w:val="en-US" w:eastAsia="zh-CN"/>
        </w:rPr>
        <w:t>第</w:t>
      </w:r>
      <w:r>
        <w:rPr>
          <w:rFonts w:hint="eastAsia" w:ascii="微软雅黑" w:hAnsi="微软雅黑" w:eastAsia="微软雅黑" w:cs="微软雅黑"/>
          <w:rtl w:val="0"/>
        </w:rPr>
        <w:t>一时间接收最新资源</w:t>
      </w:r>
    </w:p>
    <w:p w14:paraId="02E794A0">
      <w:pPr>
        <w:pStyle w:val="7"/>
        <w:spacing w:line="360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rtl w:val="0"/>
        </w:rPr>
        <w:drawing>
          <wp:inline distT="0" distB="0" distL="114300" distR="114300">
            <wp:extent cx="5029200" cy="2385695"/>
            <wp:effectExtent l="0" t="0" r="0" b="14605"/>
            <wp:docPr id="74" name="Drawing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Drawing 1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3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0DCBF">
      <w:pPr>
        <w:pStyle w:val="7"/>
        <w:spacing w:line="240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rtl w:val="0"/>
        </w:rPr>
        <w:t>（2）根据期刊，推送期刊下全部的文章</w:t>
      </w:r>
    </w:p>
    <w:p w14:paraId="6E82F1BC">
      <w:pPr>
        <w:pStyle w:val="7"/>
        <w:spacing w:line="240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rtl w:val="0"/>
        </w:rPr>
        <w:t>（3）AI速览：对一期的文章进行AI总结，快速提炼文献的核心内容和关键创新点；点击溯源角标，可快速定位到对应的资源</w:t>
      </w:r>
    </w:p>
    <w:p w14:paraId="64DCDE54">
      <w:pPr>
        <w:pStyle w:val="7"/>
        <w:spacing w:line="240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rtl w:val="0"/>
        </w:rPr>
        <w:t>（4）期刊对话：支持对期刊，进行快速对话，获取期刊的核心要点、重要研究内容</w:t>
      </w:r>
    </w:p>
    <w:p w14:paraId="01446899">
      <w:pPr>
        <w:pStyle w:val="7"/>
        <w:spacing w:line="240" w:lineRule="auto"/>
        <w:rPr>
          <w:rFonts w:hint="eastAsia" w:ascii="微软雅黑" w:hAnsi="微软雅黑" w:eastAsia="微软雅黑" w:cs="微软雅黑"/>
        </w:rPr>
      </w:pPr>
    </w:p>
    <w:p w14:paraId="419A6E41">
      <w:pPr>
        <w:pStyle w:val="11"/>
        <w:spacing w:line="240" w:lineRule="auto"/>
        <w:rPr>
          <w:rFonts w:hint="eastAsia" w:ascii="微软雅黑" w:hAnsi="微软雅黑" w:eastAsia="微软雅黑" w:cs="微软雅黑"/>
        </w:rPr>
      </w:pPr>
      <w:bookmarkStart w:id="7" w:name="_Toc7810"/>
      <w:r>
        <w:rPr>
          <w:rFonts w:hint="eastAsia" w:ascii="微软雅黑" w:hAnsi="微软雅黑" w:eastAsia="微软雅黑" w:cs="微软雅黑"/>
          <w:rtl w:val="0"/>
        </w:rPr>
        <w:t>3.3学者</w:t>
      </w:r>
      <w:bookmarkEnd w:id="7"/>
    </w:p>
    <w:p w14:paraId="20EFAF18">
      <w:pPr>
        <w:pStyle w:val="7"/>
        <w:spacing w:line="240" w:lineRule="auto"/>
        <w:rPr>
          <w:rFonts w:hint="eastAsia" w:ascii="微软雅黑" w:hAnsi="微软雅黑" w:eastAsia="微软雅黑" w:cs="微软雅黑"/>
          <w:rtl w:val="0"/>
        </w:rPr>
      </w:pPr>
      <w:r>
        <w:rPr>
          <w:rFonts w:hint="eastAsia" w:ascii="微软雅黑" w:hAnsi="微软雅黑" w:eastAsia="微软雅黑" w:cs="微软雅黑"/>
          <w:rtl w:val="0"/>
        </w:rPr>
        <w:t>根据研究兴趣，关注学者，推送学者的最新研究成果</w:t>
      </w:r>
    </w:p>
    <w:p w14:paraId="0409394F">
      <w:pPr>
        <w:pStyle w:val="7"/>
        <w:spacing w:line="240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rtl w:val="0"/>
        </w:rPr>
        <w:t>（1）关注学者：输入研究兴趣或方向，跟踪学者</w:t>
      </w:r>
    </w:p>
    <w:p w14:paraId="2BEDE384">
      <w:pPr>
        <w:pStyle w:val="7"/>
        <w:spacing w:line="240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rtl w:val="0"/>
        </w:rPr>
        <w:drawing>
          <wp:inline distT="0" distB="0" distL="114300" distR="114300">
            <wp:extent cx="5029200" cy="2385695"/>
            <wp:effectExtent l="0" t="0" r="0" b="14605"/>
            <wp:docPr id="91" name="Drawing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Drawing 1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3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88A99">
      <w:pPr>
        <w:pStyle w:val="7"/>
        <w:spacing w:line="240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rtl w:val="0"/>
        </w:rPr>
        <w:t>（2）推送学者的研究成果</w:t>
      </w:r>
    </w:p>
    <w:p w14:paraId="2254A9E7">
      <w:pPr>
        <w:pStyle w:val="7"/>
        <w:spacing w:line="240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rtl w:val="0"/>
        </w:rPr>
        <w:t>（3）AI速览：对学者的研究成果，进行快速总结</w:t>
      </w:r>
    </w:p>
    <w:p w14:paraId="087967C2">
      <w:pPr>
        <w:pStyle w:val="7"/>
        <w:spacing w:line="240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rtl w:val="0"/>
        </w:rPr>
        <w:t>（4）学者对话：与学者进行对话</w:t>
      </w:r>
    </w:p>
    <w:p w14:paraId="658A7320">
      <w:pPr>
        <w:pStyle w:val="7"/>
        <w:spacing w:line="240" w:lineRule="auto"/>
        <w:rPr>
          <w:rFonts w:hint="eastAsia" w:ascii="微软雅黑" w:hAnsi="微软雅黑" w:eastAsia="微软雅黑" w:cs="微软雅黑"/>
        </w:rPr>
      </w:pPr>
    </w:p>
    <w:p w14:paraId="7FC26E1D">
      <w:pPr>
        <w:pStyle w:val="11"/>
        <w:spacing w:line="240" w:lineRule="auto"/>
        <w:rPr>
          <w:rFonts w:hint="eastAsia" w:ascii="微软雅黑" w:hAnsi="微软雅黑" w:eastAsia="微软雅黑" w:cs="微软雅黑"/>
        </w:rPr>
      </w:pPr>
      <w:bookmarkStart w:id="8" w:name="_Toc15451"/>
      <w:r>
        <w:rPr>
          <w:rFonts w:hint="eastAsia" w:ascii="微软雅黑" w:hAnsi="微软雅黑" w:eastAsia="微软雅黑" w:cs="微软雅黑"/>
          <w:rtl w:val="0"/>
        </w:rPr>
        <w:t>3.4学术顶会</w:t>
      </w:r>
      <w:bookmarkEnd w:id="8"/>
    </w:p>
    <w:p w14:paraId="51782C06">
      <w:pPr>
        <w:pStyle w:val="7"/>
        <w:spacing w:line="240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rtl w:val="0"/>
        </w:rPr>
        <w:t>推送计算机顶会相关论文</w:t>
      </w:r>
    </w:p>
    <w:p w14:paraId="6D511CF4">
      <w:pPr>
        <w:pStyle w:val="7"/>
        <w:spacing w:line="240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rtl w:val="0"/>
        </w:rPr>
        <w:drawing>
          <wp:inline distT="0" distB="0" distL="114300" distR="114300">
            <wp:extent cx="5029200" cy="2385695"/>
            <wp:effectExtent l="0" t="0" r="0" b="14605"/>
            <wp:docPr id="104" name="Drawing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Drawing 1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3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7F77E">
      <w:pPr>
        <w:pStyle w:val="11"/>
        <w:spacing w:line="240" w:lineRule="auto"/>
        <w:rPr>
          <w:rFonts w:hint="eastAsia" w:ascii="微软雅黑" w:hAnsi="微软雅黑" w:eastAsia="微软雅黑" w:cs="微软雅黑"/>
          <w:lang w:val="en-US" w:eastAsia="zh-CN"/>
        </w:rPr>
      </w:pPr>
      <w:bookmarkStart w:id="9" w:name="_Toc12722"/>
      <w:r>
        <w:rPr>
          <w:rFonts w:hint="eastAsia" w:ascii="微软雅黑" w:hAnsi="微软雅黑" w:eastAsia="微软雅黑" w:cs="微软雅黑"/>
          <w:rtl w:val="0"/>
        </w:rPr>
        <w:t xml:space="preserve">3.5 </w:t>
      </w:r>
      <w:bookmarkEnd w:id="9"/>
      <w:r>
        <w:rPr>
          <w:rFonts w:hint="eastAsia" w:ascii="微软雅黑" w:hAnsi="微软雅黑" w:eastAsia="微软雅黑" w:cs="微软雅黑"/>
          <w:rtl w:val="0"/>
          <w:lang w:val="en-US" w:eastAsia="zh-CN"/>
        </w:rPr>
        <w:t>预印本</w:t>
      </w:r>
    </w:p>
    <w:p w14:paraId="53423645">
      <w:pPr>
        <w:pStyle w:val="7"/>
        <w:spacing w:line="240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rtl w:val="0"/>
        </w:rPr>
        <w:t>根据研究兴趣，速刷</w:t>
      </w:r>
      <w:r>
        <w:rPr>
          <w:rFonts w:hint="eastAsia" w:ascii="微软雅黑" w:hAnsi="微软雅黑" w:eastAsia="微软雅黑" w:cs="微软雅黑"/>
          <w:rtl w:val="0"/>
          <w:lang w:val="en-US" w:eastAsia="zh-CN"/>
        </w:rPr>
        <w:t>预印本</w:t>
      </w:r>
      <w:r>
        <w:rPr>
          <w:rFonts w:hint="eastAsia" w:ascii="微软雅黑" w:hAnsi="微软雅黑" w:eastAsia="微软雅黑" w:cs="微软雅黑"/>
          <w:rtl w:val="0"/>
        </w:rPr>
        <w:t>论文</w:t>
      </w:r>
    </w:p>
    <w:p w14:paraId="15C1A665">
      <w:pPr>
        <w:pStyle w:val="7"/>
        <w:spacing w:line="240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rtl w:val="0"/>
        </w:rPr>
        <w:t>（1）新增兴趣领域，根据自己的研究方向追踪</w:t>
      </w:r>
      <w:r>
        <w:rPr>
          <w:rFonts w:hint="eastAsia" w:ascii="微软雅黑" w:hAnsi="微软雅黑" w:eastAsia="微软雅黑" w:cs="微软雅黑"/>
          <w:rtl w:val="0"/>
          <w:lang w:val="en-US" w:eastAsia="zh-CN"/>
        </w:rPr>
        <w:t>预印本</w:t>
      </w:r>
      <w:r>
        <w:rPr>
          <w:rFonts w:hint="eastAsia" w:ascii="微软雅黑" w:hAnsi="微软雅黑" w:eastAsia="微软雅黑" w:cs="微软雅黑"/>
          <w:rtl w:val="0"/>
        </w:rPr>
        <w:t>的领域</w:t>
      </w:r>
    </w:p>
    <w:p w14:paraId="440F4D93">
      <w:pPr>
        <w:pStyle w:val="7"/>
        <w:spacing w:line="240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rtl w:val="0"/>
        </w:rPr>
        <w:drawing>
          <wp:inline distT="0" distB="0" distL="114300" distR="114300">
            <wp:extent cx="5029200" cy="2385695"/>
            <wp:effectExtent l="0" t="0" r="0" b="14605"/>
            <wp:docPr id="112" name="Drawing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Drawing 1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3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1A370">
      <w:pPr>
        <w:pStyle w:val="7"/>
        <w:spacing w:line="240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rtl w:val="0"/>
        </w:rPr>
        <w:t>（2）根据领域，推送相关的预印本资源</w:t>
      </w:r>
    </w:p>
    <w:p w14:paraId="2DCAED79">
      <w:pPr>
        <w:pStyle w:val="7"/>
        <w:spacing w:line="240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rtl w:val="0"/>
        </w:rPr>
        <w:t>（3）AI速览：针对推送的资源进行总结阅读，进行论文速刷</w:t>
      </w:r>
    </w:p>
    <w:p w14:paraId="3A5EE18A">
      <w:pPr>
        <w:pStyle w:val="7"/>
        <w:spacing w:line="240" w:lineRule="auto"/>
        <w:rPr>
          <w:rFonts w:hint="eastAsia" w:ascii="微软雅黑" w:hAnsi="微软雅黑" w:eastAsia="微软雅黑" w:cs="微软雅黑"/>
        </w:rPr>
      </w:pPr>
    </w:p>
    <w:p w14:paraId="1C932D53">
      <w:pPr>
        <w:pStyle w:val="7"/>
        <w:spacing w:line="240" w:lineRule="auto"/>
        <w:rPr>
          <w:rFonts w:hint="eastAsia" w:ascii="微软雅黑" w:hAnsi="微软雅黑" w:eastAsia="微软雅黑" w:cs="微软雅黑"/>
        </w:rPr>
      </w:pPr>
    </w:p>
    <w:p w14:paraId="025DD793">
      <w:pPr>
        <w:pStyle w:val="10"/>
        <w:spacing w:line="360" w:lineRule="auto"/>
        <w:rPr>
          <w:rFonts w:hint="eastAsia" w:ascii="微软雅黑" w:hAnsi="微软雅黑" w:eastAsia="微软雅黑" w:cs="微软雅黑"/>
        </w:rPr>
      </w:pPr>
      <w:bookmarkStart w:id="10" w:name="_Toc4532"/>
      <w:r>
        <w:rPr>
          <w:rFonts w:hint="eastAsia" w:ascii="微软雅黑" w:hAnsi="微软雅黑" w:eastAsia="微软雅黑" w:cs="微软雅黑"/>
          <w:rtl w:val="0"/>
        </w:rPr>
        <w:t>4.AI知识库</w:t>
      </w:r>
      <w:bookmarkEnd w:id="10"/>
    </w:p>
    <w:p w14:paraId="64923825">
      <w:pPr>
        <w:pStyle w:val="11"/>
        <w:spacing w:line="360" w:lineRule="auto"/>
        <w:rPr>
          <w:rFonts w:hint="eastAsia" w:ascii="微软雅黑" w:hAnsi="微软雅黑" w:eastAsia="微软雅黑" w:cs="微软雅黑"/>
        </w:rPr>
      </w:pPr>
      <w:bookmarkStart w:id="11" w:name="_Toc27532"/>
      <w:r>
        <w:rPr>
          <w:rFonts w:hint="eastAsia" w:ascii="微软雅黑" w:hAnsi="微软雅黑" w:eastAsia="微软雅黑" w:cs="微软雅黑"/>
          <w:rtl w:val="0"/>
        </w:rPr>
        <w:t>4.1公共AI知识库</w:t>
      </w:r>
      <w:bookmarkEnd w:id="11"/>
    </w:p>
    <w:p w14:paraId="7BE9826C">
      <w:pPr>
        <w:pStyle w:val="7"/>
        <w:spacing w:line="360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rtl w:val="0"/>
        </w:rPr>
        <w:t>展示该机构建立、订阅的公共AI知识库，点击【对话】，进入知识库问答页面，对AI知识库进行问答</w:t>
      </w:r>
    </w:p>
    <w:p w14:paraId="6D31A2E9">
      <w:pPr>
        <w:pStyle w:val="7"/>
        <w:spacing w:line="360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rtl w:val="0"/>
        </w:rPr>
        <w:drawing>
          <wp:inline distT="0" distB="0" distL="114300" distR="114300">
            <wp:extent cx="5029200" cy="2385695"/>
            <wp:effectExtent l="0" t="0" r="0" b="14605"/>
            <wp:docPr id="126" name="Drawing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Drawing 15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3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4D1FD">
      <w:pPr>
        <w:pStyle w:val="11"/>
        <w:spacing w:line="360" w:lineRule="auto"/>
        <w:rPr>
          <w:rFonts w:hint="eastAsia" w:ascii="微软雅黑" w:hAnsi="微软雅黑" w:eastAsia="微软雅黑" w:cs="微软雅黑"/>
        </w:rPr>
      </w:pPr>
      <w:bookmarkStart w:id="12" w:name="_Toc665"/>
      <w:r>
        <w:rPr>
          <w:rFonts w:hint="eastAsia" w:ascii="微软雅黑" w:hAnsi="微软雅黑" w:eastAsia="微软雅黑" w:cs="微软雅黑"/>
          <w:rtl w:val="0"/>
        </w:rPr>
        <w:t>4.2 机构AI知识库</w:t>
      </w:r>
      <w:bookmarkEnd w:id="12"/>
    </w:p>
    <w:p w14:paraId="4F4E4581">
      <w:pPr>
        <w:pStyle w:val="7"/>
        <w:numPr>
          <w:ilvl w:val="0"/>
          <w:numId w:val="1"/>
        </w:numPr>
        <w:spacing w:line="360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rtl w:val="0"/>
        </w:rPr>
        <w:t>单位已开通机构AI知识库的情况下，展示机构下的特色资源库</w:t>
      </w:r>
    </w:p>
    <w:p w14:paraId="787CC31C">
      <w:pPr>
        <w:pStyle w:val="7"/>
        <w:numPr>
          <w:ilvl w:val="0"/>
          <w:numId w:val="1"/>
        </w:numPr>
        <w:spacing w:line="360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rtl w:val="0"/>
        </w:rPr>
        <w:t>点击【对话】，对机构知识库进行对话</w:t>
      </w:r>
    </w:p>
    <w:p w14:paraId="7D302DEB">
      <w:pPr>
        <w:pStyle w:val="7"/>
        <w:spacing w:line="360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rtl w:val="0"/>
        </w:rPr>
        <w:drawing>
          <wp:inline distT="0" distB="0" distL="114300" distR="114300">
            <wp:extent cx="5029200" cy="2385695"/>
            <wp:effectExtent l="0" t="0" r="0" b="14605"/>
            <wp:docPr id="134" name="Drawing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Drawing 1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3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62E43">
      <w:pPr>
        <w:pStyle w:val="7"/>
        <w:spacing w:line="360" w:lineRule="auto"/>
        <w:rPr>
          <w:rFonts w:hint="eastAsia" w:ascii="微软雅黑" w:hAnsi="微软雅黑" w:eastAsia="微软雅黑" w:cs="微软雅黑"/>
        </w:rPr>
      </w:pPr>
    </w:p>
    <w:p w14:paraId="0B5A1AB1">
      <w:pPr>
        <w:pStyle w:val="10"/>
        <w:spacing w:line="360" w:lineRule="auto"/>
        <w:rPr>
          <w:rFonts w:hint="eastAsia" w:ascii="微软雅黑" w:hAnsi="微软雅黑" w:eastAsia="微软雅黑" w:cs="微软雅黑"/>
        </w:rPr>
      </w:pPr>
      <w:bookmarkStart w:id="13" w:name="_Toc22823"/>
      <w:r>
        <w:rPr>
          <w:rFonts w:hint="eastAsia" w:ascii="微软雅黑" w:hAnsi="微软雅黑" w:eastAsia="微软雅黑" w:cs="微软雅黑"/>
          <w:rtl w:val="0"/>
        </w:rPr>
        <w:t>5.AI应用</w:t>
      </w:r>
      <w:bookmarkEnd w:id="13"/>
    </w:p>
    <w:p w14:paraId="3FB026F3">
      <w:pPr>
        <w:pStyle w:val="7"/>
        <w:spacing w:line="360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2"/>
          <w:szCs w:val="22"/>
          <w:rtl w:val="0"/>
        </w:rPr>
        <w:t>集成辅助科研、学习的应用工具，支持按分类查看AI应用，支持点击一键跳转使用，支持收藏到我的应用，并通过首页快捷访问。</w:t>
      </w:r>
    </w:p>
    <w:p w14:paraId="42DD8AF2">
      <w:pPr>
        <w:pStyle w:val="7"/>
        <w:spacing w:line="360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rtl w:val="0"/>
        </w:rPr>
        <w:drawing>
          <wp:inline distT="0" distB="0" distL="114300" distR="114300">
            <wp:extent cx="5029200" cy="2385695"/>
            <wp:effectExtent l="0" t="0" r="0" b="14605"/>
            <wp:docPr id="142" name="Drawing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Drawing 17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3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EC129">
      <w:pPr>
        <w:pStyle w:val="10"/>
        <w:spacing w:line="360" w:lineRule="auto"/>
        <w:rPr>
          <w:rFonts w:hint="eastAsia" w:ascii="微软雅黑" w:hAnsi="微软雅黑" w:eastAsia="微软雅黑" w:cs="微软雅黑"/>
        </w:rPr>
      </w:pPr>
      <w:bookmarkStart w:id="14" w:name="_Toc9742"/>
      <w:r>
        <w:rPr>
          <w:rFonts w:hint="eastAsia" w:ascii="微软雅黑" w:hAnsi="微软雅黑" w:eastAsia="微软雅黑" w:cs="微软雅黑"/>
          <w:rtl w:val="0"/>
        </w:rPr>
        <w:t>6.课题</w:t>
      </w:r>
      <w:bookmarkEnd w:id="14"/>
    </w:p>
    <w:p w14:paraId="61EFEDC5">
      <w:pPr>
        <w:pStyle w:val="7"/>
        <w:spacing w:line="360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rtl w:val="0"/>
        </w:rPr>
        <w:t>（1）创建课题：支持创建课题，成立课题组，组内成员研究成果进行共享、协作</w:t>
      </w:r>
    </w:p>
    <w:p w14:paraId="3A4CB5C6">
      <w:pPr>
        <w:pStyle w:val="7"/>
        <w:spacing w:line="360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rtl w:val="0"/>
        </w:rPr>
        <w:t>（2）成立课题组成员</w:t>
      </w:r>
    </w:p>
    <w:p w14:paraId="434ADB18">
      <w:pPr>
        <w:pStyle w:val="7"/>
        <w:spacing w:line="360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rtl w:val="0"/>
        </w:rPr>
        <w:drawing>
          <wp:inline distT="0" distB="0" distL="114300" distR="114300">
            <wp:extent cx="5029200" cy="2385695"/>
            <wp:effectExtent l="0" t="0" r="0" b="14605"/>
            <wp:docPr id="151" name="Drawing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Drawing 18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3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03AD6">
      <w:pPr>
        <w:pStyle w:val="7"/>
        <w:spacing w:line="360" w:lineRule="auto"/>
        <w:rPr>
          <w:rFonts w:hint="eastAsia" w:ascii="微软雅黑" w:hAnsi="微软雅黑" w:eastAsia="微软雅黑" w:cs="微软雅黑"/>
        </w:rPr>
      </w:pPr>
    </w:p>
    <w:p w14:paraId="047B91E9">
      <w:pPr>
        <w:pStyle w:val="7"/>
        <w:spacing w:line="360" w:lineRule="auto"/>
        <w:rPr>
          <w:rFonts w:hint="eastAsia" w:ascii="微软雅黑" w:hAnsi="微软雅黑" w:eastAsia="微软雅黑" w:cs="微软雅黑"/>
        </w:rPr>
      </w:pPr>
    </w:p>
    <w:p w14:paraId="4478D1C7">
      <w:pPr>
        <w:pStyle w:val="10"/>
        <w:spacing w:line="360" w:lineRule="auto"/>
        <w:rPr>
          <w:rFonts w:hint="eastAsia" w:ascii="微软雅黑" w:hAnsi="微软雅黑" w:eastAsia="微软雅黑" w:cs="微软雅黑"/>
        </w:rPr>
      </w:pPr>
      <w:bookmarkStart w:id="15" w:name="_Toc8854"/>
      <w:r>
        <w:rPr>
          <w:rFonts w:hint="eastAsia" w:ascii="微软雅黑" w:hAnsi="微软雅黑" w:eastAsia="微软雅黑" w:cs="微软雅黑"/>
          <w:rtl w:val="0"/>
        </w:rPr>
        <w:t>7.工作集</w:t>
      </w:r>
      <w:bookmarkEnd w:id="15"/>
    </w:p>
    <w:p w14:paraId="79EDC98F">
      <w:pPr>
        <w:pStyle w:val="7"/>
        <w:spacing w:line="360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rtl w:val="0"/>
        </w:rPr>
        <w:t>（1）支持课题组管理团队成果，可进行上传或者检索资源。同时支持个人阅读清单管理</w:t>
      </w:r>
    </w:p>
    <w:p w14:paraId="225C9396">
      <w:pPr>
        <w:pStyle w:val="7"/>
        <w:spacing w:line="360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rtl w:val="0"/>
        </w:rPr>
        <w:t>（2）可对资源进行快速对话，获取文章的研究成果、研究方向、核心方法等</w:t>
      </w:r>
    </w:p>
    <w:p w14:paraId="78E7F7E7">
      <w:pPr>
        <w:pStyle w:val="7"/>
        <w:spacing w:line="360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rtl w:val="0"/>
        </w:rPr>
        <w:drawing>
          <wp:inline distT="0" distB="0" distL="114300" distR="114300">
            <wp:extent cx="5029200" cy="2385695"/>
            <wp:effectExtent l="0" t="0" r="0" b="14605"/>
            <wp:docPr id="162" name="Drawing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Drawing 19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3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CB28F">
      <w:pPr>
        <w:pStyle w:val="7"/>
        <w:spacing w:line="360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rtl w:val="0"/>
        </w:rPr>
        <w:t>（3）支持对文章进行阅读</w:t>
      </w:r>
    </w:p>
    <w:p w14:paraId="24A5FCDF">
      <w:pPr>
        <w:pStyle w:val="7"/>
        <w:spacing w:line="360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rtl w:val="0"/>
        </w:rPr>
        <w:drawing>
          <wp:inline distT="0" distB="0" distL="114300" distR="114300">
            <wp:extent cx="5029200" cy="2385695"/>
            <wp:effectExtent l="0" t="0" r="0" b="14605"/>
            <wp:docPr id="166" name="Drawing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Drawing 20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3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A9B23">
      <w:pPr>
        <w:pStyle w:val="7"/>
        <w:numPr>
          <w:ilvl w:val="0"/>
          <w:numId w:val="2"/>
        </w:numPr>
        <w:spacing w:line="360" w:lineRule="auto"/>
        <w:ind w:left="420" w:leftChars="0" w:hanging="420" w:firstLine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rtl w:val="0"/>
        </w:rPr>
        <w:t>支持快速获取，文章的摘要、研究方法、关键要点</w:t>
      </w:r>
    </w:p>
    <w:p w14:paraId="1655C01D">
      <w:pPr>
        <w:pStyle w:val="7"/>
        <w:numPr>
          <w:ilvl w:val="0"/>
          <w:numId w:val="2"/>
        </w:numPr>
        <w:spacing w:line="360" w:lineRule="auto"/>
        <w:ind w:left="420" w:leftChars="0" w:hanging="420" w:firstLine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rtl w:val="0"/>
        </w:rPr>
        <w:t>支持对文章内容进行提问，翻译、解释</w:t>
      </w:r>
    </w:p>
    <w:p w14:paraId="37D6BA41">
      <w:pPr>
        <w:pStyle w:val="7"/>
        <w:numPr>
          <w:ilvl w:val="0"/>
          <w:numId w:val="2"/>
        </w:numPr>
        <w:spacing w:line="360" w:lineRule="auto"/>
        <w:ind w:left="420" w:leftChars="0" w:hanging="420" w:firstLine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rtl w:val="0"/>
        </w:rPr>
        <w:t>支持一键生成文章的思维导图</w:t>
      </w:r>
    </w:p>
    <w:p w14:paraId="080746FB">
      <w:pPr>
        <w:pStyle w:val="7"/>
        <w:spacing w:line="360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rtl w:val="0"/>
        </w:rPr>
        <w:t>（4）支持多篇文章对话</w:t>
      </w:r>
    </w:p>
    <w:sectPr>
      <w:pgSz w:w="11900" w:h="16840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Unicode MS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YaHei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C6225C3"/>
    <w:multiLevelType w:val="singleLevel"/>
    <w:tmpl w:val="FC6225C3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0053208E"/>
    <w:multiLevelType w:val="multilevel"/>
    <w:tmpl w:val="0053208E"/>
    <w:lvl w:ilvl="0" w:tentative="0">
      <w:start w:val="1"/>
      <w:numFmt w:val="bullet"/>
      <w:lvlText w:val=""/>
      <w:lvlJc w:val="left"/>
      <w:pPr>
        <w:ind w:left="420" w:hanging="420"/>
      </w:pPr>
      <w:rPr>
        <w:rFonts w:ascii="Wingdings" w:hAnsi="Wingdings"/>
      </w:rPr>
    </w:lvl>
    <w:lvl w:ilvl="1" w:tentative="0">
      <w:start w:val="1"/>
      <w:numFmt w:val="bullet"/>
      <w:lvlText w:val=""/>
      <w:lvlJc w:val="left"/>
      <w:pPr>
        <w:ind w:left="840" w:hanging="420"/>
      </w:pPr>
      <w:rPr>
        <w:rFonts w:ascii="Wingdings" w:hAnsi="Wingdings"/>
      </w:rPr>
    </w:lvl>
    <w:lvl w:ilvl="2" w:tentative="0">
      <w:start w:val="1"/>
      <w:numFmt w:val="bullet"/>
      <w:lvlText w:val=""/>
      <w:lvlJc w:val="left"/>
      <w:pPr>
        <w:ind w:left="1260" w:hanging="420"/>
      </w:pPr>
      <w:rPr>
        <w:rFonts w:ascii="Wingdings" w:hAnsi="Wingdings"/>
      </w:rPr>
    </w:lvl>
    <w:lvl w:ilvl="3" w:tentative="0">
      <w:start w:val="1"/>
      <w:numFmt w:val="bullet"/>
      <w:lvlText w:val=""/>
      <w:lvlJc w:val="left"/>
      <w:pPr>
        <w:ind w:left="1680" w:hanging="420"/>
      </w:pPr>
      <w:rPr>
        <w:rFonts w:ascii="Wingdings" w:hAnsi="Wingdings"/>
      </w:rPr>
    </w:lvl>
    <w:lvl w:ilvl="4" w:tentative="0">
      <w:start w:val="1"/>
      <w:numFmt w:val="bullet"/>
      <w:lvlText w:val=""/>
      <w:lvlJc w:val="left"/>
      <w:pPr>
        <w:ind w:left="2100" w:hanging="420"/>
      </w:pPr>
      <w:rPr>
        <w:rFonts w:ascii="Wingdings" w:hAnsi="Wingdings"/>
      </w:rPr>
    </w:lvl>
    <w:lvl w:ilvl="5" w:tentative="0">
      <w:start w:val="1"/>
      <w:numFmt w:val="bullet"/>
      <w:lvlText w:val=""/>
      <w:lvlJc w:val="left"/>
      <w:pPr>
        <w:ind w:left="2520" w:hanging="420"/>
      </w:pPr>
      <w:rPr>
        <w:rFonts w:ascii="Wingdings" w:hAnsi="Wingdings"/>
      </w:rPr>
    </w:lvl>
    <w:lvl w:ilvl="6" w:tentative="0">
      <w:start w:val="1"/>
      <w:numFmt w:val="bullet"/>
      <w:lvlText w:val=""/>
      <w:lvlJc w:val="left"/>
      <w:pPr>
        <w:ind w:left="2940" w:hanging="420"/>
      </w:pPr>
      <w:rPr>
        <w:rFonts w:ascii="Wingdings" w:hAnsi="Wingdings"/>
      </w:rPr>
    </w:lvl>
    <w:lvl w:ilvl="7" w:tentative="0">
      <w:start w:val="1"/>
      <w:numFmt w:val="bullet"/>
      <w:lvlText w:val=""/>
      <w:lvlJc w:val="left"/>
      <w:pPr>
        <w:ind w:left="3360" w:hanging="420"/>
      </w:pPr>
      <w:rPr>
        <w:rFonts w:ascii="Wingdings" w:hAnsi="Wingdings"/>
      </w:rPr>
    </w:lvl>
    <w:lvl w:ilvl="8" w:tentative="0">
      <w:start w:val="1"/>
      <w:numFmt w:val="bullet"/>
      <w:lvlText w:val=""/>
      <w:lvlJc w:val="left"/>
      <w:pPr>
        <w:ind w:left="3780" w:hanging="420"/>
      </w:pPr>
      <w:rPr>
        <w:rFonts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cumentProtection w:enforcement="0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AA6F30"/>
    <w:rsid w:val="3A7819DB"/>
    <w:rsid w:val="4C166306"/>
    <w:rsid w:val="5E10762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 Unicode MS" w:hAnsi="Arial Unicode MS" w:eastAsia="MicrosoftYaHei" w:cs="Arial Unicode MS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Arial Unicode MS" w:hAnsi="Arial Unicode MS" w:eastAsia="MicrosoftYaHei" w:cs="Arial Unicode MS"/>
      <w:sz w:val="2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3"/>
    <w:basedOn w:val="1"/>
    <w:next w:val="1"/>
    <w:uiPriority w:val="0"/>
    <w:pPr>
      <w:ind w:left="840" w:leftChars="400"/>
    </w:pPr>
  </w:style>
  <w:style w:type="paragraph" w:styleId="3">
    <w:name w:val="toc 2"/>
    <w:basedOn w:val="1"/>
    <w:next w:val="1"/>
    <w:uiPriority w:val="0"/>
    <w:pPr>
      <w:ind w:left="420" w:leftChars="200"/>
    </w:pPr>
  </w:style>
  <w:style w:type="character" w:styleId="6">
    <w:name w:val="Hyperlink"/>
    <w:basedOn w:val="5"/>
    <w:uiPriority w:val="0"/>
    <w:rPr>
      <w:color w:val="0000FF"/>
      <w:u w:val="single"/>
    </w:rPr>
  </w:style>
  <w:style w:type="paragraph" w:customStyle="1" w:styleId="7">
    <w:name w:val="石墨文档正文"/>
    <w:qFormat/>
    <w:uiPriority w:val="0"/>
    <w:rPr>
      <w:rFonts w:ascii="Arial Unicode MS" w:hAnsi="Arial Unicode MS" w:eastAsia="MicrosoftYaHei" w:cs="Arial Unicode MS"/>
      <w:sz w:val="22"/>
      <w:szCs w:val="22"/>
    </w:rPr>
  </w:style>
  <w:style w:type="paragraph" w:customStyle="1" w:styleId="8">
    <w:name w:val="石墨文档标题"/>
    <w:next w:val="7"/>
    <w:unhideWhenUsed/>
    <w:qFormat/>
    <w:uiPriority w:val="9"/>
    <w:pPr>
      <w:spacing w:before="260" w:after="260"/>
      <w:outlineLvl w:val="0"/>
    </w:pPr>
    <w:rPr>
      <w:rFonts w:ascii="Arial Unicode MS" w:hAnsi="Arial Unicode MS" w:eastAsia="MicrosoftYaHei" w:cs="Arial Unicode MS"/>
      <w:b/>
      <w:bCs/>
      <w:sz w:val="40"/>
      <w:szCs w:val="40"/>
    </w:rPr>
  </w:style>
  <w:style w:type="paragraph" w:customStyle="1" w:styleId="9">
    <w:name w:val="石墨文档副标题"/>
    <w:qFormat/>
    <w:uiPriority w:val="0"/>
    <w:pPr>
      <w:spacing w:before="260" w:after="260"/>
    </w:pPr>
    <w:rPr>
      <w:rFonts w:ascii="Arial Unicode MS" w:hAnsi="Arial Unicode MS" w:eastAsia="MicrosoftYaHei" w:cs="Arial Unicode MS"/>
      <w:color w:val="888888"/>
      <w:sz w:val="36"/>
      <w:szCs w:val="36"/>
    </w:rPr>
  </w:style>
  <w:style w:type="paragraph" w:customStyle="1" w:styleId="10">
    <w:name w:val="石墨文档标题 1"/>
    <w:next w:val="7"/>
    <w:unhideWhenUsed/>
    <w:qFormat/>
    <w:uiPriority w:val="9"/>
    <w:pPr>
      <w:spacing w:before="260" w:after="260"/>
      <w:outlineLvl w:val="1"/>
    </w:pPr>
    <w:rPr>
      <w:rFonts w:ascii="Arial Unicode MS" w:hAnsi="Arial Unicode MS" w:eastAsia="MicrosoftYaHei" w:cs="Arial Unicode MS"/>
      <w:b/>
      <w:bCs/>
      <w:sz w:val="32"/>
      <w:szCs w:val="32"/>
    </w:rPr>
  </w:style>
  <w:style w:type="paragraph" w:customStyle="1" w:styleId="11">
    <w:name w:val="石墨文档标题 2"/>
    <w:next w:val="7"/>
    <w:unhideWhenUsed/>
    <w:qFormat/>
    <w:uiPriority w:val="9"/>
    <w:pPr>
      <w:spacing w:before="260" w:after="260"/>
      <w:outlineLvl w:val="2"/>
    </w:pPr>
    <w:rPr>
      <w:rFonts w:ascii="Arial Unicode MS" w:hAnsi="Arial Unicode MS" w:eastAsia="MicrosoftYaHei" w:cs="Arial Unicode MS"/>
      <w:b/>
      <w:bCs/>
      <w:sz w:val="28"/>
      <w:szCs w:val="28"/>
    </w:rPr>
  </w:style>
  <w:style w:type="paragraph" w:customStyle="1" w:styleId="12">
    <w:name w:val="石墨文档标题 3"/>
    <w:next w:val="7"/>
    <w:unhideWhenUsed/>
    <w:qFormat/>
    <w:uiPriority w:val="9"/>
    <w:pPr>
      <w:spacing w:before="260" w:after="260"/>
      <w:outlineLvl w:val="3"/>
    </w:pPr>
    <w:rPr>
      <w:rFonts w:ascii="Arial Unicode MS" w:hAnsi="Arial Unicode MS" w:eastAsia="MicrosoftYaHei" w:cs="Arial Unicode MS"/>
      <w:b/>
      <w:bCs/>
      <w:sz w:val="26"/>
      <w:szCs w:val="26"/>
    </w:rPr>
  </w:style>
  <w:style w:type="paragraph" w:customStyle="1" w:styleId="13">
    <w:name w:val="石墨文档标题 4"/>
    <w:next w:val="7"/>
    <w:unhideWhenUsed/>
    <w:qFormat/>
    <w:uiPriority w:val="9"/>
    <w:pPr>
      <w:spacing w:before="260" w:after="260"/>
      <w:outlineLvl w:val="4"/>
    </w:pPr>
    <w:rPr>
      <w:rFonts w:ascii="Arial Unicode MS" w:hAnsi="Arial Unicode MS" w:eastAsia="MicrosoftYaHei" w:cs="Arial Unicode MS"/>
      <w:b/>
      <w:bCs/>
      <w:sz w:val="24"/>
      <w:szCs w:val="24"/>
    </w:rPr>
  </w:style>
  <w:style w:type="paragraph" w:customStyle="1" w:styleId="14">
    <w:name w:val="石墨文档标题 5"/>
    <w:next w:val="7"/>
    <w:unhideWhenUsed/>
    <w:qFormat/>
    <w:uiPriority w:val="9"/>
    <w:pPr>
      <w:spacing w:before="260" w:after="260"/>
      <w:outlineLvl w:val="5"/>
    </w:pPr>
    <w:rPr>
      <w:rFonts w:ascii="Arial Unicode MS" w:hAnsi="Arial Unicode MS" w:eastAsia="MicrosoftYaHei" w:cs="Arial Unicode MS"/>
      <w:b/>
      <w:bCs/>
      <w:sz w:val="22"/>
      <w:szCs w:val="22"/>
    </w:rPr>
  </w:style>
  <w:style w:type="paragraph" w:customStyle="1" w:styleId="15">
    <w:name w:val="石墨文档标题 6"/>
    <w:next w:val="7"/>
    <w:unhideWhenUsed/>
    <w:qFormat/>
    <w:uiPriority w:val="9"/>
    <w:pPr>
      <w:spacing w:before="260" w:after="260"/>
      <w:outlineLvl w:val="6"/>
    </w:pPr>
    <w:rPr>
      <w:rFonts w:ascii="Arial Unicode MS" w:hAnsi="Arial Unicode MS" w:eastAsia="MicrosoftYaHei" w:cs="Arial Unicode MS"/>
      <w:b/>
      <w:bCs/>
      <w:sz w:val="22"/>
      <w:szCs w:val="22"/>
    </w:rPr>
  </w:style>
  <w:style w:type="paragraph" w:customStyle="1" w:styleId="16">
    <w:name w:val="石墨文档引用"/>
    <w:qFormat/>
    <w:uiPriority w:val="0"/>
    <w:pPr>
      <w:pBdr>
        <w:left w:val="single" w:color="F0F0F0" w:sz="30" w:space="10"/>
      </w:pBdr>
    </w:pPr>
    <w:rPr>
      <w:rFonts w:ascii="Arial Unicode MS" w:hAnsi="Arial Unicode MS" w:eastAsia="MicrosoftYaHei" w:cs="Arial Unicode MS"/>
      <w:color w:val="ADADAD"/>
      <w:sz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13</Pages>
  <Words>1462</Words>
  <Characters>1593</Characters>
  <TotalTime>21</TotalTime>
  <ScaleCrop>false</ScaleCrop>
  <LinksUpToDate>false</LinksUpToDate>
  <CharactersWithSpaces>1655</CharactersWithSpaces>
  <Application>WPS Office_12.1.0.23125_F1E327BC-269C-435d-A152-05C5408002CA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2025-09-02T13:56:00Z</dcterms:created>
  <dc:creator>15096</dc:creator>
  <cp:lastModifiedBy>通彤统痛</cp:lastModifiedBy>
  <dcterms:modified xsi:type="dcterms:W3CDTF">2025-11-03T03:07:12Z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eyJoZGlkIjoiMmFjYTJiODdjZjY4NjVmZjMwZmRiYWQ0MTZkNDZiMGEiLCJ1c2VySWQiOiIyNDU3MDczODMifQ==</vt:lpwstr>
  </property>
  <property fmtid="{D5CDD505-2E9C-101B-9397-08002B2CF9AE}" pid="3" name="KSOProductBuildVer">
    <vt:lpwstr>2052-12.1.0.23125</vt:lpwstr>
  </property>
  <property fmtid="{D5CDD505-2E9C-101B-9397-08002B2CF9AE}" pid="4" name="ICV">
    <vt:lpwstr>D49FDE6BABEF433CA4D0C16F909A3890_13</vt:lpwstr>
  </property>
</Properties>
</file>